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sz w:val="24"/>
          <w:szCs w:val="24"/>
          <w:lang w:val="en-US" w:eastAsia="zh-CN"/>
        </w:rPr>
      </w:pPr>
      <w:bookmarkStart w:id="0" w:name="DocumentFor"/>
      <w:bookmarkEnd w:id="0"/>
      <w:bookmarkStart w:id="1" w:name="Title"/>
      <w:bookmarkEnd w:id="1"/>
      <w:r>
        <w:rPr>
          <w:b/>
          <w:sz w:val="24"/>
          <w:szCs w:val="24"/>
        </w:rPr>
        <w:t>3GPP TSG RAN WG2</w:t>
      </w:r>
      <w:r>
        <w:rPr>
          <w:rFonts w:hint="eastAsia"/>
          <w:b/>
          <w:sz w:val="24"/>
          <w:szCs w:val="24"/>
        </w:rPr>
        <w:t xml:space="preserve"> Meeting </w:t>
      </w:r>
      <w:r>
        <w:rPr>
          <w:b/>
          <w:sz w:val="24"/>
          <w:szCs w:val="24"/>
        </w:rPr>
        <w:t>#1</w:t>
      </w:r>
      <w:r>
        <w:rPr>
          <w:rFonts w:hint="eastAsia" w:eastAsia="宋体"/>
          <w:b/>
          <w:sz w:val="24"/>
          <w:szCs w:val="24"/>
          <w:lang w:val="en-US" w:eastAsia="zh-CN"/>
        </w:rPr>
        <w:t>26</w:t>
      </w:r>
      <w:r>
        <w:rPr>
          <w:b/>
          <w:sz w:val="24"/>
          <w:szCs w:val="24"/>
        </w:rPr>
        <w:tab/>
      </w:r>
      <w:r>
        <w:rPr>
          <w:rFonts w:hint="eastAsia"/>
          <w:b/>
          <w:sz w:val="24"/>
          <w:szCs w:val="24"/>
        </w:rPr>
        <w:t>R2-2405021</w:t>
      </w:r>
    </w:p>
    <w:p>
      <w:pPr>
        <w:pStyle w:val="56"/>
        <w:jc w:val="left"/>
        <w:rPr>
          <w:rFonts w:hint="eastAsia" w:cs="Arial"/>
          <w:sz w:val="24"/>
          <w:szCs w:val="24"/>
        </w:rPr>
      </w:pPr>
      <w:r>
        <w:rPr>
          <w:rFonts w:hint="eastAsia" w:cs="Arial"/>
          <w:sz w:val="24"/>
          <w:szCs w:val="24"/>
        </w:rPr>
        <w:t>Fukuoka, Japan, May 20</w:t>
      </w:r>
      <w:r>
        <w:rPr>
          <w:rFonts w:hint="eastAsia" w:eastAsia="宋体" w:cs="Arial"/>
          <w:sz w:val="24"/>
          <w:szCs w:val="24"/>
          <w:vertAlign w:val="superscript"/>
          <w:lang w:val="en-US" w:eastAsia="zh-CN"/>
        </w:rPr>
        <w:t>th</w:t>
      </w:r>
      <w:r>
        <w:rPr>
          <w:rFonts w:hint="eastAsia" w:cs="Arial"/>
          <w:sz w:val="24"/>
          <w:szCs w:val="24"/>
        </w:rPr>
        <w:t xml:space="preserve"> - 24</w:t>
      </w:r>
      <w:r>
        <w:rPr>
          <w:rFonts w:hint="eastAsia" w:eastAsia="宋体" w:cs="Arial"/>
          <w:sz w:val="24"/>
          <w:szCs w:val="24"/>
          <w:vertAlign w:val="superscript"/>
          <w:lang w:val="en-US" w:eastAsia="zh-CN"/>
        </w:rPr>
        <w:t>th</w:t>
      </w:r>
      <w:r>
        <w:rPr>
          <w:rFonts w:hint="eastAsia" w:cs="Arial"/>
          <w:sz w:val="24"/>
          <w:szCs w:val="24"/>
        </w:rPr>
        <w:t>, 2024</w:t>
      </w:r>
    </w:p>
    <w:p>
      <w:pPr>
        <w:pStyle w:val="56"/>
        <w:jc w:val="left"/>
        <w:rPr>
          <w:rFonts w:hint="default" w:eastAsia="宋体" w:cs="Arial"/>
          <w:sz w:val="24"/>
          <w:szCs w:val="24"/>
          <w:lang w:val="en-US" w:eastAsia="zh-CN"/>
        </w:rPr>
      </w:pPr>
      <w:r>
        <w:rPr>
          <w:rFonts w:cs="Arial"/>
          <w:sz w:val="24"/>
          <w:szCs w:val="24"/>
        </w:rPr>
        <w:t>Agenda Item:</w:t>
      </w:r>
      <w:r>
        <w:rPr>
          <w:rFonts w:cs="Arial"/>
          <w:sz w:val="24"/>
          <w:szCs w:val="24"/>
        </w:rPr>
        <w:tab/>
      </w:r>
      <w:r>
        <w:rPr>
          <w:rFonts w:hint="eastAsia" w:eastAsia="宋体" w:cs="Arial"/>
          <w:sz w:val="24"/>
          <w:szCs w:val="24"/>
          <w:lang w:val="en-US" w:eastAsia="zh-CN"/>
        </w:rPr>
        <w:t>8.8.5</w:t>
      </w:r>
    </w:p>
    <w:p>
      <w:pPr>
        <w:pStyle w:val="56"/>
        <w:jc w:val="left"/>
        <w:rPr>
          <w:rFonts w:cs="Arial"/>
          <w:sz w:val="24"/>
          <w:szCs w:val="24"/>
        </w:rPr>
      </w:pPr>
      <w:r>
        <w:rPr>
          <w:rFonts w:cs="Arial"/>
          <w:sz w:val="24"/>
          <w:szCs w:val="24"/>
        </w:rPr>
        <w:t>Source:</w:t>
      </w:r>
      <w:r>
        <w:rPr>
          <w:rFonts w:cs="Arial"/>
          <w:sz w:val="24"/>
          <w:szCs w:val="24"/>
        </w:rPr>
        <w:tab/>
      </w:r>
      <w:r>
        <w:rPr>
          <w:rFonts w:eastAsia="宋体" w:cs="Arial"/>
          <w:sz w:val="24"/>
          <w:szCs w:val="24"/>
        </w:rPr>
        <w:t>CMCC</w:t>
      </w:r>
      <w:r>
        <w:rPr>
          <w:rFonts w:eastAsia="宋体" w:cs="Arial"/>
          <w:sz w:val="24"/>
          <w:szCs w:val="24"/>
        </w:rPr>
        <w:tab/>
      </w:r>
    </w:p>
    <w:p>
      <w:pPr>
        <w:pStyle w:val="56"/>
        <w:jc w:val="left"/>
        <w:rPr>
          <w:rFonts w:hint="default" w:cs="Arial" w:eastAsiaTheme="minorEastAsia"/>
          <w:sz w:val="24"/>
          <w:szCs w:val="24"/>
          <w:lang w:val="en-US" w:eastAsia="zh-CN"/>
        </w:rPr>
      </w:pPr>
      <w:r>
        <w:rPr>
          <w:rFonts w:cs="Arial"/>
          <w:sz w:val="24"/>
          <w:szCs w:val="24"/>
        </w:rPr>
        <w:t>Title:</w:t>
      </w:r>
      <w:r>
        <w:rPr>
          <w:rFonts w:cs="Arial"/>
          <w:sz w:val="24"/>
          <w:szCs w:val="24"/>
        </w:rPr>
        <w:tab/>
      </w:r>
      <w:r>
        <w:rPr>
          <w:rFonts w:hint="eastAsia" w:cs="Arial" w:eastAsiaTheme="minorEastAsia"/>
          <w:sz w:val="24"/>
          <w:szCs w:val="24"/>
          <w:lang w:val="en-US" w:eastAsia="zh-CN"/>
        </w:rPr>
        <w:t>Support of regenerative payload</w:t>
      </w:r>
    </w:p>
    <w:p>
      <w:pPr>
        <w:pStyle w:val="56"/>
        <w:jc w:val="left"/>
        <w:rPr>
          <w:rFonts w:hint="eastAsia" w:eastAsia="宋体" w:cs="Arial"/>
          <w:sz w:val="24"/>
          <w:szCs w:val="24"/>
          <w:lang w:val="en-US" w:eastAsia="zh-CN"/>
        </w:rPr>
      </w:pPr>
      <w:r>
        <w:rPr>
          <w:rFonts w:cs="Arial"/>
          <w:sz w:val="24"/>
          <w:szCs w:val="24"/>
        </w:rPr>
        <w:t>Document for:</w:t>
      </w:r>
      <w:r>
        <w:rPr>
          <w:rFonts w:cs="Arial"/>
          <w:sz w:val="24"/>
          <w:szCs w:val="24"/>
        </w:rPr>
        <w:tab/>
      </w:r>
      <w:r>
        <w:rPr>
          <w:rFonts w:cs="Arial"/>
          <w:sz w:val="24"/>
          <w:szCs w:val="24"/>
        </w:rPr>
        <w:t>Discussion, Discussion</w:t>
      </w:r>
    </w:p>
    <w:p>
      <w:pPr>
        <w:pStyle w:val="2"/>
        <w:rPr>
          <w:rFonts w:cs="Arial"/>
          <w:sz w:val="32"/>
          <w:szCs w:val="32"/>
        </w:rPr>
      </w:pPr>
      <w:r>
        <w:rPr>
          <w:rFonts w:cs="Arial"/>
          <w:sz w:val="32"/>
          <w:szCs w:val="32"/>
        </w:rPr>
        <w:t>Introduction</w:t>
      </w:r>
    </w:p>
    <w:p>
      <w:pPr>
        <w:pStyle w:val="109"/>
        <w:widowControl w:val="0"/>
        <w:numPr>
          <w:ilvl w:val="0"/>
          <w:numId w:val="0"/>
        </w:numPr>
        <w:spacing w:after="0"/>
        <w:jc w:val="both"/>
      </w:pPr>
      <w:r>
        <w:rPr>
          <w:rFonts w:hint="default" w:ascii="Arial" w:hAnsi="Arial" w:eastAsia="仿宋" w:cs="Arial"/>
          <w:sz w:val="20"/>
          <w:szCs w:val="20"/>
          <w:lang w:val="en-US" w:eastAsia="zh-CN"/>
        </w:rPr>
        <w:t>Ther</w:t>
      </w:r>
      <w:r>
        <w:rPr>
          <w:rFonts w:hint="eastAsia" w:ascii="Arial" w:hAnsi="Arial" w:eastAsia="仿宋" w:cs="Arial"/>
          <w:sz w:val="20"/>
          <w:szCs w:val="20"/>
          <w:lang w:val="en-US" w:eastAsia="zh-CN"/>
        </w:rPr>
        <w:t xml:space="preserve">e were some discussions on </w:t>
      </w:r>
      <w:r>
        <w:rPr>
          <w:rFonts w:hint="eastAsia" w:eastAsia="仿宋" w:cs="Arial"/>
          <w:sz w:val="20"/>
          <w:szCs w:val="20"/>
          <w:lang w:val="en-US" w:eastAsia="zh-CN"/>
        </w:rPr>
        <w:t>regenerative payload</w:t>
      </w:r>
      <w:r>
        <w:rPr>
          <w:rFonts w:hint="eastAsia" w:ascii="Arial" w:hAnsi="Arial" w:eastAsia="仿宋" w:cs="Arial"/>
          <w:sz w:val="20"/>
          <w:szCs w:val="20"/>
          <w:lang w:val="en-US" w:eastAsia="zh-CN"/>
        </w:rPr>
        <w:t xml:space="preserve"> in last RAN2 meeting, and agreements were reached as following [1]:</w:t>
      </w:r>
    </w:p>
    <w:p>
      <w:pPr>
        <w:pStyle w:val="54"/>
        <w:pBdr>
          <w:top w:val="single" w:color="auto" w:sz="4" w:space="1"/>
          <w:left w:val="single" w:color="auto" w:sz="4" w:space="4"/>
          <w:bottom w:val="single" w:color="auto" w:sz="4" w:space="1"/>
          <w:right w:val="single" w:color="auto" w:sz="4" w:space="4"/>
        </w:pBdr>
        <w:rPr>
          <w:b/>
          <w:bCs/>
        </w:rPr>
      </w:pPr>
      <w:r>
        <w:rPr>
          <w:b/>
          <w:bCs/>
        </w:rPr>
        <w:t>Agreement:</w:t>
      </w:r>
    </w:p>
    <w:p>
      <w:pPr>
        <w:pStyle w:val="54"/>
        <w:numPr>
          <w:ilvl w:val="0"/>
          <w:numId w:val="11"/>
        </w:numPr>
        <w:pBdr>
          <w:top w:val="single" w:color="auto" w:sz="4" w:space="1"/>
          <w:left w:val="single" w:color="auto" w:sz="4" w:space="4"/>
          <w:bottom w:val="single" w:color="auto" w:sz="4" w:space="1"/>
          <w:right w:val="single" w:color="auto" w:sz="4" w:space="4"/>
        </w:pBdr>
        <w:ind w:left="1259" w:firstLine="0"/>
        <w:rPr>
          <w:b/>
          <w:bCs/>
        </w:rPr>
      </w:pPr>
      <w:r>
        <w:rPr>
          <w:rFonts w:hint="eastAsia"/>
          <w:b/>
          <w:bCs/>
        </w:rPr>
        <w:t>Wait for RAN3 inputs to update section 16.14.4 and 16.14.6 related to switchover and NG interface</w:t>
      </w:r>
    </w:p>
    <w:p>
      <w:pPr>
        <w:suppressAutoHyphens/>
        <w:adjustRightInd/>
        <w:spacing w:before="120"/>
        <w:rPr>
          <w:rFonts w:hint="default" w:ascii="Arial" w:hAnsi="Arial" w:eastAsia="仿宋" w:cs="Arial"/>
          <w:lang w:val="en-US" w:eastAsia="zh-CN"/>
        </w:rPr>
      </w:pPr>
      <w:r>
        <w:rPr>
          <w:rFonts w:hint="eastAsia" w:eastAsia="仿宋" w:cs="Arial"/>
          <w:lang w:val="en-US" w:eastAsia="zh-CN"/>
        </w:rPr>
        <w:t>And regarding the stage 2 impacts, we discussed to check if we can consider the text proposal for TS 38.300 in R2-2403606 as a possible baseline for RAN2 discussion to support the gNB on-board regenerative payload architecture. Then another issue is whether satellite switch with resync feature could be supported in regenerative payload architecture.</w:t>
      </w:r>
    </w:p>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 </w:t>
      </w:r>
      <w:r>
        <w:rPr>
          <w:rFonts w:hint="eastAsia" w:ascii="Arial" w:hAnsi="Arial" w:eastAsia="仿宋" w:cs="Arial"/>
          <w:lang w:val="en-US" w:eastAsia="zh-CN"/>
        </w:rPr>
        <w:t xml:space="preserve">further </w:t>
      </w:r>
      <w:r>
        <w:rPr>
          <w:rFonts w:hint="eastAsia" w:eastAsia="仿宋" w:cs="Arial"/>
          <w:lang w:val="en-US" w:eastAsia="zh-CN"/>
        </w:rPr>
        <w:t>considerations</w:t>
      </w:r>
      <w:r>
        <w:rPr>
          <w:rFonts w:hint="default" w:ascii="Arial" w:hAnsi="Arial" w:eastAsia="仿宋" w:cs="Arial"/>
        </w:rPr>
        <w:t xml:space="preserve"> on </w:t>
      </w:r>
      <w:r>
        <w:rPr>
          <w:rFonts w:hint="eastAsia" w:eastAsia="仿宋" w:cs="Arial"/>
          <w:lang w:val="en-US" w:eastAsia="zh-CN"/>
        </w:rPr>
        <w:t>regenerative payload based on above for NTN system</w:t>
      </w:r>
      <w:r>
        <w:rPr>
          <w:rFonts w:hint="default" w:ascii="Arial" w:hAnsi="Arial" w:eastAsia="仿宋" w:cs="Arial"/>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Theme="minorEastAsia"/>
          <w:bCs/>
          <w:lang w:val="en-US" w:eastAsia="zh-CN"/>
        </w:rPr>
      </w:pPr>
      <w:r>
        <w:rPr>
          <w:rFonts w:hint="eastAsia" w:eastAsia="宋体"/>
          <w:lang w:val="en-US" w:eastAsia="zh-CN"/>
        </w:rPr>
        <w:t xml:space="preserve"> Stage 2 impacts</w:t>
      </w:r>
    </w:p>
    <w:p>
      <w:pPr>
        <w:pStyle w:val="60"/>
        <w:spacing w:after="0"/>
        <w:ind w:left="0" w:firstLine="0"/>
        <w:rPr>
          <w:rFonts w:hint="default" w:eastAsia="宋体"/>
          <w:lang w:val="en-US" w:eastAsia="zh-CN"/>
        </w:rPr>
      </w:pPr>
      <w:r>
        <w:rPr>
          <w:rFonts w:hint="eastAsia" w:eastAsia="宋体"/>
          <w:lang w:val="en-US" w:eastAsia="zh-CN"/>
        </w:rPr>
        <w:t xml:space="preserve">Compared to transparent payload discussed in NTN R17 and R18, to support regenerative payload, some stage 2 aspects are needed to update, including architecture/scenarios description in 16.14.1 of TS 38.300, </w:t>
      </w:r>
    </w:p>
    <w:p>
      <w:pPr>
        <w:pStyle w:val="60"/>
        <w:spacing w:after="0"/>
        <w:ind w:left="0" w:firstLine="0"/>
        <w:rPr>
          <w:rFonts w:hint="default" w:eastAsia="宋体"/>
          <w:lang w:val="en-US" w:eastAsia="zh-CN"/>
        </w:rPr>
      </w:pPr>
      <w:r>
        <w:rPr>
          <w:rFonts w:hint="eastAsia" w:eastAsia="宋体"/>
          <w:lang w:val="en-US" w:eastAsia="zh-CN"/>
        </w:rPr>
        <w:t>clarification in 16.14.2.1 that common TA and k</w:t>
      </w:r>
      <w:r>
        <w:rPr>
          <w:rFonts w:hint="eastAsia" w:eastAsia="宋体"/>
          <w:vertAlign w:val="subscript"/>
          <w:lang w:val="en-US" w:eastAsia="zh-CN"/>
        </w:rPr>
        <w:t>mac</w:t>
      </w:r>
      <w:r>
        <w:rPr>
          <w:rFonts w:hint="eastAsia" w:eastAsia="宋体"/>
          <w:lang w:val="en-US" w:eastAsia="zh-CN"/>
        </w:rPr>
        <w:t xml:space="preserve"> are both equal to 0 due to gNB on board and the 16.4.2.2 Timing Advance and Frequency Pre-compensation description needs to cover regenerative payload. </w:t>
      </w:r>
      <w:r>
        <w:rPr>
          <w:rFonts w:hint="eastAsia" w:eastAsia="仿宋" w:cs="Arial"/>
          <w:lang w:val="en-US" w:eastAsia="zh-CN"/>
        </w:rPr>
        <w:t>These corresponding modifications are already provided in R2-240</w:t>
      </w:r>
      <w:bookmarkStart w:id="5" w:name="_GoBack"/>
      <w:bookmarkEnd w:id="5"/>
      <w:r>
        <w:rPr>
          <w:rFonts w:hint="eastAsia" w:eastAsia="仿宋" w:cs="Arial"/>
          <w:lang w:val="en-US" w:eastAsia="zh-CN"/>
        </w:rPr>
        <w:t>3606, therefore state 2 TP in R2-2403606 could be a possible baseline for RAN2 discussion to support the gNB on-board regenerative payload architecture.</w:t>
      </w:r>
    </w:p>
    <w:p>
      <w:pPr>
        <w:pStyle w:val="60"/>
        <w:spacing w:after="0"/>
        <w:ind w:left="0" w:firstLine="0"/>
        <w:rPr>
          <w:rFonts w:hint="default" w:eastAsia="宋体"/>
          <w:lang w:val="en-US" w:eastAsia="zh-CN"/>
        </w:rPr>
      </w:pPr>
      <w:r>
        <w:rPr>
          <w:rFonts w:hint="eastAsia" w:eastAsia="宋体"/>
          <w:b/>
          <w:bCs/>
          <w:lang w:val="en-US" w:eastAsia="zh-CN"/>
        </w:rPr>
        <w:t xml:space="preserve">Proposal 1: </w:t>
      </w:r>
      <w:r>
        <w:rPr>
          <w:rFonts w:hint="eastAsia" w:eastAsia="仿宋" w:cs="Arial"/>
          <w:b/>
          <w:bCs/>
          <w:lang w:val="en-US" w:eastAsia="zh-CN"/>
        </w:rPr>
        <w:t>State 2 TP in R2-2403606 could be a possible baseline for RAN2 discussion to support the gNB on-board regenerative payload architecture.</w:t>
      </w:r>
    </w:p>
    <w:p>
      <w:pPr>
        <w:pStyle w:val="3"/>
        <w:bidi w:val="0"/>
        <w:rPr>
          <w:rFonts w:hint="eastAsia" w:eastAsiaTheme="minorEastAsia"/>
          <w:bCs/>
          <w:lang w:val="en-US" w:eastAsia="zh-CN"/>
        </w:rPr>
      </w:pPr>
      <w:r>
        <w:rPr>
          <w:rFonts w:hint="eastAsia" w:eastAsiaTheme="minorEastAsia"/>
          <w:bCs/>
          <w:lang w:val="en-US" w:eastAsia="zh-CN"/>
        </w:rPr>
        <w:t xml:space="preserve"> PCI unchanged</w:t>
      </w:r>
    </w:p>
    <w:p>
      <w:pPr>
        <w:pStyle w:val="60"/>
        <w:spacing w:after="0"/>
        <w:ind w:left="0" w:firstLine="0"/>
        <w:rPr>
          <w:rFonts w:hint="default" w:eastAsia="宋体"/>
          <w:lang w:val="en-US" w:eastAsia="zh-CN"/>
        </w:rPr>
      </w:pPr>
      <w:r>
        <w:rPr>
          <w:rFonts w:hint="eastAsia" w:eastAsia="宋体"/>
          <w:lang w:val="en-US" w:eastAsia="zh-CN"/>
        </w:rPr>
        <w:t xml:space="preserve">Whether to support PCI unchanged in regenerative payload is raised in last meeting while without agreement and postpone discussion to this meeting. In R18 with transparent architecture, we supported both hard satellite switch and soft satellite switch features for quasi-earth fixed cell scenario with source satellite and target satellite connecting to a same gNB to avoid signaling overhead of traditional handover. With PCI unchanged, UEs only need to perform </w:t>
      </w:r>
      <w:r>
        <w:t>UL</w:t>
      </w:r>
      <w:r>
        <w:rPr>
          <w:rFonts w:hint="eastAsia" w:eastAsia="宋体"/>
          <w:lang w:val="en-US" w:eastAsia="zh-CN"/>
        </w:rPr>
        <w:t>/DL</w:t>
      </w:r>
      <w:r>
        <w:t xml:space="preserve"> synchronization</w:t>
      </w:r>
      <w:r>
        <w:rPr>
          <w:rFonts w:hint="eastAsia" w:eastAsia="宋体"/>
          <w:lang w:val="en-US" w:eastAsia="zh-CN"/>
        </w:rPr>
        <w:t xml:space="preserve"> to target satellite instead of L3 handover procedure. The specific procedure is as following [3]:</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pPr>
            <w:bookmarkStart w:id="3" w:name="_Toc162894409"/>
            <w:r>
              <w:t>5.7.19</w:t>
            </w:r>
            <w:r>
              <w:tab/>
            </w:r>
            <w:r>
              <w:t>Satellite switch with resynchronization</w:t>
            </w:r>
            <w:bookmarkEnd w:id="3"/>
          </w:p>
          <w:p>
            <w:r>
              <w:t xml:space="preserve">A UE capable of hard satellite switch with resyncrhonization in RRC_CONNECTED initiates the procedure when </w:t>
            </w:r>
            <w:r>
              <w:rPr>
                <w:i/>
                <w:iCs/>
              </w:rPr>
              <w:t>SatSwitchWithReSync</w:t>
            </w:r>
            <w:r>
              <w:t xml:space="preserve"> and </w:t>
            </w:r>
            <w:r>
              <w:rPr>
                <w:i/>
                <w:iCs/>
              </w:rPr>
              <w:t>t-Service</w:t>
            </w:r>
            <w:r>
              <w:t xml:space="preserve"> are included in </w:t>
            </w:r>
            <w:r>
              <w:rPr>
                <w:i/>
                <w:iCs/>
              </w:rPr>
              <w:t>SIB19</w:t>
            </w:r>
            <w:r>
              <w:t>.</w:t>
            </w:r>
          </w:p>
          <w:p>
            <w:r>
              <w:t>Upon initiating the procedure, the UE shall:</w:t>
            </w:r>
          </w:p>
          <w:p>
            <w:pPr>
              <w:pStyle w:val="60"/>
            </w:pPr>
            <w:r>
              <w:t>1&gt;</w:t>
            </w:r>
            <w:r>
              <w:tab/>
            </w:r>
            <w:r>
              <w:t xml:space="preserve">if </w:t>
            </w:r>
            <w:r>
              <w:rPr>
                <w:i/>
                <w:iCs/>
              </w:rPr>
              <w:t>t-ServiceStart</w:t>
            </w:r>
            <w:r>
              <w:t xml:space="preserve"> is included in </w:t>
            </w:r>
            <w:r>
              <w:rPr>
                <w:i/>
                <w:iCs/>
              </w:rPr>
              <w:t>SIB19</w:t>
            </w:r>
            <w:r>
              <w:t xml:space="preserve"> and the UE supports soft satellite switch with resynchronization:</w:t>
            </w:r>
          </w:p>
          <w:p>
            <w:pPr>
              <w:pStyle w:val="61"/>
            </w:pPr>
            <w:r>
              <w:t>2&gt;</w:t>
            </w:r>
            <w:r>
              <w:tab/>
            </w:r>
            <w:r>
              <w:t xml:space="preserve">start acquiring DL synchronization with the SpCell served by the satellite indicated by </w:t>
            </w:r>
            <w:r>
              <w:rPr>
                <w:i/>
                <w:iCs/>
              </w:rPr>
              <w:t>ntn-Config</w:t>
            </w:r>
            <w:r>
              <w:t xml:space="preserve"> in </w:t>
            </w:r>
            <w:r>
              <w:rPr>
                <w:i/>
                <w:iCs/>
              </w:rPr>
              <w:t>SatSwitchWithReSync</w:t>
            </w:r>
            <w:r>
              <w:t xml:space="preserve"> between the time indicated by </w:t>
            </w:r>
            <w:r>
              <w:rPr>
                <w:i/>
                <w:iCs/>
              </w:rPr>
              <w:t>t-ServiceStart</w:t>
            </w:r>
            <w:r>
              <w:t xml:space="preserve"> and the time indicated by </w:t>
            </w:r>
            <w:r>
              <w:rPr>
                <w:i/>
                <w:iCs/>
              </w:rPr>
              <w:t xml:space="preserve">t-Service </w:t>
            </w:r>
            <w:r>
              <w:t>for the serving cell;</w:t>
            </w:r>
          </w:p>
          <w:p>
            <w:pPr>
              <w:pStyle w:val="60"/>
            </w:pPr>
            <w:r>
              <w:t xml:space="preserve">1&gt;upon the time indicated by </w:t>
            </w:r>
            <w:r>
              <w:rPr>
                <w:i/>
                <w:iCs/>
              </w:rPr>
              <w:t>t-Service:</w:t>
            </w:r>
          </w:p>
          <w:p>
            <w:pPr>
              <w:pStyle w:val="61"/>
            </w:pPr>
            <w:r>
              <w:t>2&gt;</w:t>
            </w:r>
            <w:r>
              <w:tab/>
            </w:r>
            <w:r>
              <w:t>stop timer T430 if running;</w:t>
            </w:r>
          </w:p>
          <w:p>
            <w:pPr>
              <w:pStyle w:val="61"/>
            </w:pPr>
            <w:r>
              <w:t>2&gt;</w:t>
            </w:r>
            <w:r>
              <w:tab/>
            </w:r>
            <w:r>
              <w:t>inform lower layers that UL synchronisation is lost due to satellite switch with resynchronization;</w:t>
            </w:r>
          </w:p>
          <w:p>
            <w:pPr>
              <w:pStyle w:val="61"/>
            </w:pPr>
            <w:r>
              <w:t>2&gt;</w:t>
            </w:r>
            <w:r>
              <w:tab/>
            </w:r>
            <w:r>
              <w:t xml:space="preserve">synchronise to the DL of the SpCell served by the satellite indicated by </w:t>
            </w:r>
            <w:r>
              <w:rPr>
                <w:i/>
                <w:iCs/>
              </w:rPr>
              <w:t>ntn-Config</w:t>
            </w:r>
            <w:r>
              <w:t xml:space="preserve"> in </w:t>
            </w:r>
            <w:r>
              <w:rPr>
                <w:i/>
                <w:iCs/>
              </w:rPr>
              <w:t>SatSwitchWithReSync</w:t>
            </w:r>
            <w:r>
              <w:t>, if the UE has not previously synchronized to the DL of the SpCell;</w:t>
            </w:r>
          </w:p>
          <w:p>
            <w:pPr>
              <w:pStyle w:val="61"/>
            </w:pPr>
            <w:r>
              <w:t>2&gt;</w:t>
            </w:r>
            <w:r>
              <w:tab/>
            </w:r>
            <w:r>
              <w:t xml:space="preserve">start timer T430 with the timer value set to </w:t>
            </w:r>
            <w:r>
              <w:rPr>
                <w:i/>
                <w:iCs/>
              </w:rPr>
              <w:t>ntn-UlSyncValidityDuration</w:t>
            </w:r>
            <w:r>
              <w:t xml:space="preserve"> from the subframe indicated by </w:t>
            </w:r>
            <w:r>
              <w:rPr>
                <w:i/>
                <w:iCs/>
              </w:rPr>
              <w:t>epochTime</w:t>
            </w:r>
            <w:r>
              <w:t xml:space="preserve"> in </w:t>
            </w:r>
            <w:r>
              <w:rPr>
                <w:i/>
                <w:iCs/>
              </w:rPr>
              <w:t>ntn-Config</w:t>
            </w:r>
            <w:r>
              <w:t xml:space="preserve"> in </w:t>
            </w:r>
            <w:r>
              <w:rPr>
                <w:i/>
                <w:iCs/>
              </w:rPr>
              <w:t>SatSwitchWithReSync</w:t>
            </w:r>
            <w:r>
              <w:t>;</w:t>
            </w:r>
          </w:p>
          <w:p>
            <w:pPr>
              <w:pStyle w:val="61"/>
              <w:rPr>
                <w:rFonts w:hint="eastAsia" w:eastAsia="宋体"/>
                <w:vertAlign w:val="baseline"/>
                <w:lang w:val="en-US" w:eastAsia="zh-CN"/>
              </w:rPr>
            </w:pPr>
            <w:r>
              <w:t>2&gt;</w:t>
            </w:r>
            <w:r>
              <w:tab/>
            </w:r>
            <w:r>
              <w:t>inform lower layers when UL synchronisation is obtained.</w:t>
            </w:r>
          </w:p>
        </w:tc>
      </w:tr>
    </w:tbl>
    <w:p>
      <w:pPr>
        <w:pStyle w:val="60"/>
        <w:spacing w:after="0"/>
        <w:ind w:left="0" w:firstLine="0"/>
        <w:rPr>
          <w:rFonts w:hint="eastAsia" w:eastAsia="宋体"/>
          <w:b/>
          <w:bCs/>
          <w:lang w:val="en-US" w:eastAsia="zh-CN"/>
        </w:rPr>
      </w:pPr>
      <w:r>
        <w:rPr>
          <w:rFonts w:hint="eastAsia" w:eastAsia="宋体"/>
          <w:b/>
          <w:bCs/>
          <w:lang w:val="en-US" w:eastAsia="zh-CN"/>
        </w:rPr>
        <w:t>Observation 1: PCI unchanged solution is beneficial for signaling overhead reduction in NTN system due to without L3 mobility.</w:t>
      </w:r>
    </w:p>
    <w:p>
      <w:pPr>
        <w:pStyle w:val="60"/>
        <w:spacing w:after="0"/>
        <w:ind w:left="0" w:firstLine="0"/>
        <w:rPr>
          <w:rFonts w:hint="default" w:eastAsia="宋体"/>
          <w:b/>
          <w:bCs/>
          <w:lang w:val="en-US" w:eastAsia="zh-CN"/>
        </w:rPr>
      </w:pPr>
    </w:p>
    <w:p>
      <w:pPr>
        <w:pStyle w:val="60"/>
        <w:spacing w:after="0"/>
        <w:ind w:left="0" w:firstLine="0"/>
        <w:rPr>
          <w:rFonts w:hint="default" w:eastAsia="宋体"/>
          <w:lang w:val="en-US" w:eastAsia="zh-CN"/>
        </w:rPr>
      </w:pPr>
      <w:r>
        <w:rPr>
          <w:rFonts w:hint="eastAsia" w:eastAsia="宋体"/>
          <w:lang w:val="en-US" w:eastAsia="zh-CN"/>
        </w:rPr>
        <w:t xml:space="preserve">Then for regenerative payload with gNB on board, PCI unchanged solution could also be discussed. And the the main issue is the </w:t>
      </w:r>
      <w:r>
        <w:t>security problem</w:t>
      </w:r>
      <w:r>
        <w:rPr>
          <w:rFonts w:hint="eastAsia" w:eastAsia="宋体"/>
          <w:lang w:val="en-US" w:eastAsia="zh-CN"/>
        </w:rPr>
        <w:t>. To support PCI unchanged for regenerative payload, the security key could keep the same between source satellite gNB and target satellite gNB based on ISL (Inter-Satellite Link) coordination.</w:t>
      </w:r>
    </w:p>
    <w:p>
      <w:pPr>
        <w:pStyle w:val="60"/>
        <w:spacing w:after="0"/>
        <w:ind w:left="0" w:firstLine="0"/>
        <w:jc w:val="center"/>
        <w:rPr>
          <w:rFonts w:hint="eastAsia" w:eastAsia="宋体"/>
          <w:lang w:val="en-US" w:eastAsia="zh-CN"/>
        </w:rPr>
      </w:pPr>
      <w:r>
        <w:rPr>
          <w:rFonts w:hint="eastAsia" w:eastAsia="宋体"/>
          <w:lang w:val="en-US" w:eastAsia="zh-CN"/>
        </w:rPr>
        <w:object>
          <v:shape id="_x0000_i1025" o:spt="75" type="#_x0000_t75" style="height:137.65pt;width:181.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60"/>
        <w:spacing w:after="0"/>
        <w:ind w:left="0" w:firstLine="0"/>
        <w:jc w:val="center"/>
        <w:rPr>
          <w:rFonts w:hint="default" w:eastAsia="宋体"/>
          <w:b/>
          <w:bCs/>
          <w:lang w:val="en-US" w:eastAsia="zh-CN"/>
        </w:rPr>
      </w:pPr>
      <w:r>
        <w:rPr>
          <w:rFonts w:hint="eastAsia" w:eastAsia="宋体"/>
          <w:b/>
          <w:bCs/>
          <w:lang w:val="en-US" w:eastAsia="zh-CN"/>
        </w:rPr>
        <w:t>Figure 1 PCI unchanged for regenerative payload with gNB on board</w:t>
      </w:r>
    </w:p>
    <w:p>
      <w:pPr>
        <w:pStyle w:val="60"/>
        <w:spacing w:after="0"/>
        <w:ind w:left="0" w:firstLine="0"/>
        <w:rPr>
          <w:rFonts w:hint="default" w:eastAsia="宋体"/>
          <w:b/>
          <w:bCs/>
          <w:lang w:val="en-US" w:eastAsia="zh-CN"/>
        </w:rPr>
      </w:pPr>
      <w:r>
        <w:rPr>
          <w:rFonts w:hint="eastAsia" w:eastAsia="宋体"/>
          <w:b/>
          <w:bCs/>
          <w:lang w:val="en-US" w:eastAsia="zh-CN"/>
        </w:rPr>
        <w:t>Proposal 2: To support PCI unchanged for regenerative payload with gNB on board, keeping same security key between source satellite gNB and target satellite gNB based on ISL coordination is demanded.</w:t>
      </w:r>
    </w:p>
    <w:p>
      <w:pPr>
        <w:pStyle w:val="60"/>
        <w:spacing w:after="0"/>
        <w:ind w:left="0" w:firstLine="0"/>
        <w:rPr>
          <w:rFonts w:hint="eastAsia" w:eastAsia="宋体"/>
          <w:lang w:val="en-US" w:eastAsia="zh-CN"/>
        </w:rPr>
      </w:pPr>
    </w:p>
    <w:p>
      <w:pPr>
        <w:pStyle w:val="60"/>
        <w:spacing w:after="0"/>
        <w:ind w:left="0" w:firstLine="0"/>
        <w:rPr>
          <w:rFonts w:hint="eastAsia" w:eastAsia="宋体"/>
          <w:lang w:val="en-US" w:eastAsia="zh-CN"/>
        </w:rPr>
      </w:pPr>
      <w:r>
        <w:rPr>
          <w:rFonts w:hint="eastAsia" w:eastAsia="宋体"/>
          <w:lang w:val="en-US" w:eastAsia="zh-CN"/>
        </w:rPr>
        <w:t>And the UE context is required to transmitted from source satellite gNB to target satellite target gNB. Considering the overhead of UE context transmission, the following 2 options could be discussed:</w:t>
      </w:r>
    </w:p>
    <w:p>
      <w:pPr>
        <w:pStyle w:val="60"/>
        <w:spacing w:after="0"/>
        <w:ind w:left="0" w:firstLine="567" w:firstLineChars="0"/>
        <w:rPr>
          <w:rFonts w:hint="default" w:eastAsia="宋体"/>
          <w:b/>
          <w:bCs/>
          <w:lang w:val="en-US" w:eastAsia="zh-CN"/>
        </w:rPr>
      </w:pPr>
      <w:r>
        <w:rPr>
          <w:rFonts w:hint="eastAsia" w:eastAsia="宋体"/>
          <w:b/>
          <w:bCs/>
          <w:lang w:val="en-US" w:eastAsia="zh-CN"/>
        </w:rPr>
        <w:t>Option 1:</w:t>
      </w:r>
      <w:r>
        <w:rPr>
          <w:rFonts w:hint="eastAsia" w:eastAsia="宋体"/>
          <w:lang w:val="en-US" w:eastAsia="zh-CN"/>
        </w:rPr>
        <w:t xml:space="preserve"> transmission whole UE context (PDCP/RLC/MAC/PHY related configuration information)</w:t>
      </w:r>
    </w:p>
    <w:p>
      <w:pPr>
        <w:pStyle w:val="60"/>
        <w:spacing w:after="0"/>
        <w:ind w:left="0" w:firstLine="567" w:firstLineChars="0"/>
        <w:rPr>
          <w:rFonts w:hint="eastAsia" w:eastAsia="宋体"/>
          <w:lang w:val="en-US" w:eastAsia="zh-CN"/>
        </w:rPr>
      </w:pPr>
      <w:r>
        <w:rPr>
          <w:rFonts w:hint="eastAsia" w:eastAsia="宋体"/>
          <w:b/>
          <w:bCs/>
          <w:lang w:val="en-US" w:eastAsia="zh-CN"/>
        </w:rPr>
        <w:t>Option 2:</w:t>
      </w:r>
      <w:r>
        <w:rPr>
          <w:rFonts w:hint="eastAsia" w:eastAsia="宋体"/>
          <w:lang w:val="en-US" w:eastAsia="zh-CN"/>
        </w:rPr>
        <w:t xml:space="preserve"> </w:t>
      </w:r>
      <w:r>
        <w:rPr>
          <w:rFonts w:hint="eastAsia" w:eastAsia="宋体"/>
          <w:b w:val="0"/>
          <w:bCs w:val="0"/>
          <w:lang w:val="en-US" w:eastAsia="zh-CN"/>
        </w:rPr>
        <w:t>only transmission static part of UE context (PDCP/RLC/MAC/PHY related configuration information) and flush&amp;reestablish dynamic part of UE context (e.g., HARQ buffer status in MAC, timer value, counter value in MAC, PHY related information)</w:t>
      </w:r>
    </w:p>
    <w:p>
      <w:pPr>
        <w:pStyle w:val="60"/>
        <w:spacing w:after="0"/>
        <w:ind w:left="0" w:firstLine="567" w:firstLineChars="0"/>
        <w:jc w:val="left"/>
        <w:rPr>
          <w:rFonts w:hint="default" w:eastAsia="宋体"/>
          <w:lang w:val="en-US" w:eastAsia="zh-CN"/>
        </w:rPr>
      </w:pPr>
      <w:r>
        <w:rPr>
          <w:rFonts w:hint="eastAsia" w:eastAsia="宋体"/>
          <w:lang w:val="en-US" w:eastAsia="zh-CN"/>
        </w:rPr>
        <w:t xml:space="preserve"> </w:t>
      </w:r>
      <w:r>
        <w:rPr>
          <w:rFonts w:hint="default" w:eastAsia="宋体"/>
          <w:lang w:val="en-US" w:eastAsia="zh-CN"/>
        </w:rPr>
        <w:object>
          <v:shape id="_x0000_i1026" o:spt="75" type="#_x0000_t75" style="height:161.6pt;width:177.5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r>
        <w:rPr>
          <w:rFonts w:hint="eastAsia" w:eastAsia="宋体"/>
          <w:lang w:val="en-US" w:eastAsia="zh-CN"/>
        </w:rPr>
        <w:t xml:space="preserve">              </w:t>
      </w:r>
      <w:r>
        <w:rPr>
          <w:rFonts w:hint="default" w:eastAsia="宋体"/>
          <w:lang w:val="en-US" w:eastAsia="zh-CN"/>
        </w:rPr>
        <w:object>
          <v:shape id="_x0000_i1027" o:spt="75" type="#_x0000_t75" style="height:159.2pt;width:175.05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pPr>
        <w:pStyle w:val="60"/>
        <w:spacing w:after="0"/>
        <w:ind w:left="0" w:firstLine="567" w:firstLineChars="0"/>
        <w:jc w:val="left"/>
        <w:rPr>
          <w:rFonts w:hint="default" w:eastAsia="宋体"/>
          <w:lang w:val="en-US" w:eastAsia="zh-CN"/>
        </w:rPr>
      </w:pPr>
      <w:r>
        <w:rPr>
          <w:rFonts w:hint="eastAsia" w:eastAsia="宋体"/>
          <w:b/>
          <w:bCs/>
          <w:lang w:val="en-US" w:eastAsia="zh-CN"/>
        </w:rPr>
        <w:t>Figure 2 Protocol stack for option 1           Figure 3 Protocol stack for option 2</w:t>
      </w:r>
    </w:p>
    <w:p>
      <w:pPr>
        <w:pStyle w:val="60"/>
        <w:spacing w:after="0"/>
        <w:ind w:left="0" w:firstLine="0"/>
        <w:rPr>
          <w:rFonts w:hint="eastAsia" w:eastAsia="宋体"/>
          <w:lang w:val="en-US" w:eastAsia="zh-CN"/>
        </w:rPr>
      </w:pPr>
      <w:r>
        <w:rPr>
          <w:rFonts w:hint="eastAsia" w:eastAsia="宋体"/>
          <w:lang w:val="en-US" w:eastAsia="zh-CN"/>
        </w:rPr>
        <w:t>Compared to option 1, option 2 has lower transmission overhead obviously and adopt which option may depend on the transmission capability of ISL.</w:t>
      </w:r>
    </w:p>
    <w:p>
      <w:pPr>
        <w:pStyle w:val="60"/>
        <w:spacing w:after="0"/>
        <w:ind w:left="0" w:firstLine="0"/>
        <w:rPr>
          <w:rFonts w:hint="eastAsia" w:eastAsia="宋体"/>
          <w:b/>
          <w:bCs/>
          <w:lang w:val="en-US" w:eastAsia="zh-CN"/>
        </w:rPr>
      </w:pPr>
      <w:r>
        <w:rPr>
          <w:rFonts w:hint="eastAsia" w:eastAsia="宋体"/>
          <w:b/>
          <w:bCs/>
          <w:lang w:val="en-US" w:eastAsia="zh-CN"/>
        </w:rPr>
        <w:t>Proposal 3: The following 2 options could be discussed for UE context transmission from source satellite gNB to target satellite gNB:</w:t>
      </w:r>
    </w:p>
    <w:p>
      <w:pPr>
        <w:pStyle w:val="60"/>
        <w:numPr>
          <w:ilvl w:val="0"/>
          <w:numId w:val="12"/>
        </w:numPr>
        <w:spacing w:after="0"/>
        <w:ind w:left="420" w:hanging="420" w:firstLineChars="0"/>
        <w:rPr>
          <w:rFonts w:hint="default" w:eastAsia="宋体"/>
          <w:b/>
          <w:bCs/>
          <w:lang w:val="en-US" w:eastAsia="zh-CN"/>
        </w:rPr>
      </w:pPr>
      <w:r>
        <w:rPr>
          <w:rFonts w:hint="eastAsia" w:eastAsia="宋体"/>
          <w:b/>
          <w:bCs/>
          <w:lang w:val="en-US" w:eastAsia="zh-CN"/>
        </w:rPr>
        <w:t>Option 1: transmission whole UE context (PDCP/RLC/MAC/PHY related configuration information)</w:t>
      </w:r>
    </w:p>
    <w:p>
      <w:pPr>
        <w:pStyle w:val="60"/>
        <w:numPr>
          <w:ilvl w:val="0"/>
          <w:numId w:val="12"/>
        </w:numPr>
        <w:spacing w:after="0"/>
        <w:ind w:left="420" w:hanging="420" w:firstLineChars="0"/>
        <w:rPr>
          <w:rFonts w:hint="eastAsia" w:eastAsia="宋体"/>
          <w:b/>
          <w:bCs/>
          <w:lang w:val="en-US" w:eastAsia="zh-CN"/>
        </w:rPr>
      </w:pPr>
      <w:r>
        <w:rPr>
          <w:rFonts w:hint="eastAsia" w:eastAsia="宋体"/>
          <w:b/>
          <w:bCs/>
          <w:lang w:val="en-US" w:eastAsia="zh-CN"/>
        </w:rPr>
        <w:t>Option 2: only transmission static part of UE context (PDCP/RLC/MAC/PHY related configuration information) and flush&amp;reestablish dynamic part of UE context (e.g., HARQ buffer status in MAC, timer value, counter value in MAC, PHY related information)</w:t>
      </w:r>
    </w:p>
    <w:p>
      <w:pPr>
        <w:pStyle w:val="60"/>
        <w:spacing w:after="0"/>
        <w:ind w:left="0" w:firstLine="567" w:firstLineChars="0"/>
        <w:rPr>
          <w:rFonts w:hint="default" w:eastAsia="宋体"/>
          <w:b/>
          <w:bCs/>
          <w:lang w:val="en-US" w:eastAsia="zh-CN"/>
        </w:rPr>
      </w:pPr>
    </w:p>
    <w:p>
      <w:pPr>
        <w:pStyle w:val="60"/>
        <w:spacing w:after="0"/>
        <w:ind w:left="0" w:firstLine="0"/>
        <w:rPr>
          <w:rFonts w:hint="default" w:eastAsia="宋体"/>
          <w:lang w:val="en-US" w:eastAsia="zh-CN"/>
        </w:rPr>
      </w:pPr>
      <w:r>
        <w:rPr>
          <w:rFonts w:hint="eastAsia" w:eastAsia="宋体"/>
          <w:lang w:val="en-US" w:eastAsia="zh-CN"/>
        </w:rPr>
        <w:t>Then for hard satellite switch and soft satellite switch, there seemly no additional issues except for above mentioned compared to transparent architecture case. Therefore both hard and soft satellite switch could be discussed or at least hard switch which is more simple in quasi-earth fixed cell case could be the starting point.</w:t>
      </w:r>
    </w:p>
    <w:p>
      <w:pPr>
        <w:pStyle w:val="60"/>
        <w:spacing w:after="0"/>
        <w:ind w:left="0" w:firstLine="0"/>
        <w:rPr>
          <w:rFonts w:hint="default" w:eastAsia="宋体"/>
          <w:lang w:val="en-US" w:eastAsia="zh-CN"/>
        </w:rPr>
      </w:pPr>
      <w:r>
        <w:rPr>
          <w:rFonts w:hint="eastAsia" w:eastAsia="宋体"/>
          <w:b/>
          <w:bCs/>
          <w:lang w:val="en-US" w:eastAsia="zh-CN"/>
        </w:rPr>
        <w:t>Proposal 4: Both hard and soft satellite switch could be discussed or at least hard switch which is more simple in quasi-earth fixed cell case could be the starting point.</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support of </w:t>
      </w:r>
      <w:r>
        <w:rPr>
          <w:rFonts w:hint="eastAsia" w:cs="Arial" w:eastAsiaTheme="minorEastAsia"/>
          <w:lang w:val="en-US" w:eastAsia="zh-CN"/>
        </w:rPr>
        <w:t>regenerative payload</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 and </w:t>
      </w:r>
      <w:r>
        <w:rPr>
          <w:rFonts w:eastAsia="宋体" w:cs="Arial"/>
          <w:sz w:val="20"/>
          <w:szCs w:val="20"/>
        </w:rPr>
        <w:t>proposals:</w:t>
      </w: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default" w:eastAsia="宋体"/>
          <w:b/>
          <w:bCs/>
          <w:i/>
          <w:iCs/>
          <w:sz w:val="24"/>
          <w:szCs w:val="24"/>
          <w:u w:val="single"/>
          <w:lang w:val="en-US" w:eastAsia="zh-CN"/>
        </w:rPr>
      </w:pPr>
      <w:r>
        <w:rPr>
          <w:rFonts w:hint="eastAsia" w:eastAsia="宋体"/>
          <w:b/>
          <w:bCs/>
          <w:i/>
          <w:iCs/>
          <w:sz w:val="24"/>
          <w:szCs w:val="24"/>
          <w:u w:val="single"/>
          <w:lang w:val="en-US" w:eastAsia="zh-CN"/>
        </w:rPr>
        <w:t>Stage 2 impacts:</w:t>
      </w:r>
    </w:p>
    <w:p>
      <w:pPr>
        <w:pStyle w:val="60"/>
        <w:spacing w:after="0"/>
        <w:ind w:left="0" w:firstLine="0"/>
        <w:rPr>
          <w:rFonts w:hint="eastAsia" w:eastAsia="仿宋" w:cs="Arial"/>
          <w:b/>
          <w:bCs/>
          <w:lang w:val="en-US" w:eastAsia="zh-CN"/>
        </w:rPr>
      </w:pPr>
      <w:r>
        <w:rPr>
          <w:rFonts w:hint="eastAsia" w:eastAsia="宋体"/>
          <w:b/>
          <w:bCs/>
          <w:lang w:val="en-US" w:eastAsia="zh-CN"/>
        </w:rPr>
        <w:t xml:space="preserve">Proposal 1: </w:t>
      </w:r>
      <w:r>
        <w:rPr>
          <w:rFonts w:hint="eastAsia" w:eastAsia="仿宋" w:cs="Arial"/>
          <w:b/>
          <w:bCs/>
          <w:lang w:val="en-US" w:eastAsia="zh-CN"/>
        </w:rPr>
        <w:t>State 2 TP in R2-2403606 could be a possible baseline for RAN2 discussion to support the gNB on-board regenerative payload architecture.</w:t>
      </w:r>
    </w:p>
    <w:p>
      <w:pPr>
        <w:pStyle w:val="60"/>
        <w:spacing w:after="0"/>
        <w:ind w:left="0" w:firstLine="0"/>
        <w:rPr>
          <w:rFonts w:hint="eastAsia" w:eastAsia="仿宋" w:cs="Arial"/>
          <w:b/>
          <w:bCs/>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default" w:eastAsia="仿宋" w:cs="Arial"/>
          <w:b/>
          <w:bCs/>
          <w:i/>
          <w:iCs/>
          <w:sz w:val="24"/>
          <w:szCs w:val="24"/>
          <w:u w:val="single"/>
          <w:lang w:val="en-US" w:eastAsia="zh-CN"/>
        </w:rPr>
      </w:pPr>
      <w:r>
        <w:rPr>
          <w:rFonts w:hint="eastAsia" w:eastAsia="仿宋" w:cs="Arial"/>
          <w:b/>
          <w:bCs/>
          <w:i/>
          <w:iCs/>
          <w:sz w:val="24"/>
          <w:szCs w:val="24"/>
          <w:u w:val="single"/>
          <w:lang w:val="en-US" w:eastAsia="zh-CN"/>
        </w:rPr>
        <w:t>PCI unchanged:</w:t>
      </w:r>
    </w:p>
    <w:p>
      <w:pPr>
        <w:pStyle w:val="60"/>
        <w:spacing w:after="0"/>
        <w:ind w:left="0" w:firstLine="0"/>
        <w:rPr>
          <w:rFonts w:hint="default" w:eastAsia="仿宋" w:cs="Arial"/>
          <w:b/>
          <w:bCs/>
          <w:lang w:val="en-US" w:eastAsia="zh-CN"/>
        </w:rPr>
      </w:pPr>
      <w:r>
        <w:rPr>
          <w:rFonts w:hint="eastAsia" w:eastAsia="宋体"/>
          <w:b/>
          <w:bCs/>
          <w:lang w:val="en-US" w:eastAsia="zh-CN"/>
        </w:rPr>
        <w:t>Observation 1: PCI unchanged solution is beneficial for signaling overhead reduction in NTN system due to without L3 mobility.</w:t>
      </w:r>
    </w:p>
    <w:p>
      <w:pPr>
        <w:pStyle w:val="60"/>
        <w:spacing w:after="0"/>
        <w:ind w:left="0" w:firstLine="0"/>
        <w:rPr>
          <w:rFonts w:hint="default" w:eastAsia="宋体"/>
          <w:b/>
          <w:bCs/>
          <w:lang w:val="en-US" w:eastAsia="zh-CN"/>
        </w:rPr>
      </w:pPr>
      <w:r>
        <w:rPr>
          <w:rFonts w:hint="eastAsia" w:eastAsia="宋体"/>
          <w:b/>
          <w:bCs/>
          <w:lang w:val="en-US" w:eastAsia="zh-CN"/>
        </w:rPr>
        <w:t>Proposal 2: To support PCI unchanged for regenerative payload with gNB on board, keeping same security key between source satellite gNB and target satellite gNB based on ISL coordination is demanded.</w:t>
      </w:r>
    </w:p>
    <w:p>
      <w:pPr>
        <w:pStyle w:val="60"/>
        <w:spacing w:after="0"/>
        <w:ind w:left="0" w:firstLine="0"/>
        <w:rPr>
          <w:rFonts w:hint="eastAsia" w:eastAsia="宋体"/>
          <w:b/>
          <w:bCs/>
          <w:lang w:val="en-US" w:eastAsia="zh-CN"/>
        </w:rPr>
      </w:pPr>
      <w:r>
        <w:rPr>
          <w:rFonts w:hint="eastAsia" w:eastAsia="宋体"/>
          <w:b/>
          <w:bCs/>
          <w:lang w:val="en-US" w:eastAsia="zh-CN"/>
        </w:rPr>
        <w:t>Proposal 3: The following 2 options could be discussed for UE context transmission from source satellite gNB to target satellite gNB:</w:t>
      </w:r>
    </w:p>
    <w:p>
      <w:pPr>
        <w:pStyle w:val="60"/>
        <w:numPr>
          <w:ilvl w:val="0"/>
          <w:numId w:val="12"/>
        </w:numPr>
        <w:spacing w:after="0"/>
        <w:ind w:left="420" w:hanging="420" w:firstLineChars="0"/>
        <w:rPr>
          <w:rFonts w:hint="default" w:eastAsia="宋体"/>
          <w:b/>
          <w:bCs/>
          <w:lang w:val="en-US" w:eastAsia="zh-CN"/>
        </w:rPr>
      </w:pPr>
      <w:r>
        <w:rPr>
          <w:rFonts w:hint="eastAsia" w:eastAsia="宋体"/>
          <w:b/>
          <w:bCs/>
          <w:lang w:val="en-US" w:eastAsia="zh-CN"/>
        </w:rPr>
        <w:t>Option 1: transmission whole UE context (PDCP/RLC/MAC/PHY related configuration information)</w:t>
      </w:r>
    </w:p>
    <w:p>
      <w:pPr>
        <w:pStyle w:val="60"/>
        <w:numPr>
          <w:ilvl w:val="0"/>
          <w:numId w:val="12"/>
        </w:numPr>
        <w:spacing w:after="0"/>
        <w:ind w:left="420" w:hanging="420" w:firstLineChars="0"/>
        <w:rPr>
          <w:rFonts w:hint="eastAsia" w:eastAsia="宋体"/>
          <w:b/>
          <w:bCs/>
          <w:lang w:val="en-US" w:eastAsia="zh-CN"/>
        </w:rPr>
      </w:pPr>
      <w:r>
        <w:rPr>
          <w:rFonts w:hint="eastAsia" w:eastAsia="宋体"/>
          <w:b/>
          <w:bCs/>
          <w:lang w:val="en-US" w:eastAsia="zh-CN"/>
        </w:rPr>
        <w:t>Option 2: only transmission static part of UE context (PDCP/RLC/MAC/PHY related configuration information) and flush&amp;reestablish dynamic part of UE context (e.g., HARQ buffer status in MAC, timer value, counter value in MAC, PHY related information)</w:t>
      </w:r>
    </w:p>
    <w:p>
      <w:pPr>
        <w:pStyle w:val="60"/>
        <w:spacing w:after="0"/>
        <w:ind w:left="0" w:firstLine="0"/>
        <w:rPr>
          <w:rFonts w:hint="eastAsia" w:eastAsiaTheme="minorEastAsia"/>
          <w:b/>
          <w:bCs w:val="0"/>
          <w:lang w:val="en-US" w:eastAsia="zh-CN"/>
        </w:rPr>
      </w:pPr>
      <w:r>
        <w:rPr>
          <w:rFonts w:hint="eastAsia" w:eastAsia="宋体"/>
          <w:b/>
          <w:bCs/>
          <w:lang w:val="en-US" w:eastAsia="zh-CN"/>
        </w:rPr>
        <w:t>Proposal 4: Both hard and soft satellite switch could be discussed or at least hard switch which is more simple in quasi-earth fixed cell case could be the starting point.</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eastAsia"/>
          <w:sz w:val="20"/>
          <w:szCs w:val="20"/>
        </w:rPr>
      </w:pPr>
      <w:bookmarkStart w:id="4" w:name="_In-sequence_SDU_delivery"/>
      <w:bookmarkEnd w:id="4"/>
      <w:r>
        <w:rPr>
          <w:rFonts w:hint="eastAsia"/>
          <w:sz w:val="20"/>
          <w:szCs w:val="20"/>
        </w:rPr>
        <w:t>R2-125bis NR-NTN-IoT-NTN (Sergio) EOM</w:t>
      </w:r>
    </w:p>
    <w:p>
      <w:pPr>
        <w:pStyle w:val="27"/>
        <w:numPr>
          <w:ilvl w:val="0"/>
          <w:numId w:val="13"/>
        </w:numPr>
        <w:overflowPunct/>
        <w:autoSpaceDE/>
        <w:autoSpaceDN/>
        <w:adjustRightInd/>
        <w:spacing w:beforeLines="50" w:after="0"/>
        <w:jc w:val="left"/>
        <w:textAlignment w:val="auto"/>
        <w:rPr>
          <w:rFonts w:hint="eastAsia"/>
          <w:sz w:val="20"/>
          <w:szCs w:val="20"/>
        </w:rPr>
      </w:pPr>
      <w:r>
        <w:rPr>
          <w:rFonts w:hint="eastAsia"/>
          <w:sz w:val="20"/>
          <w:szCs w:val="20"/>
        </w:rPr>
        <w:t>R2-2403606</w:t>
      </w:r>
      <w:r>
        <w:rPr>
          <w:rFonts w:hint="eastAsia"/>
          <w:sz w:val="20"/>
          <w:szCs w:val="20"/>
        </w:rPr>
        <w:tab/>
      </w:r>
      <w:r>
        <w:rPr>
          <w:rFonts w:hint="eastAsia"/>
          <w:sz w:val="20"/>
          <w:szCs w:val="20"/>
        </w:rPr>
        <w:t>Regenerative NTN payload support in NR NTN Evolution</w:t>
      </w:r>
      <w:r>
        <w:rPr>
          <w:rFonts w:hint="eastAsia"/>
          <w:sz w:val="20"/>
          <w:szCs w:val="20"/>
        </w:rPr>
        <w:tab/>
      </w:r>
      <w:r>
        <w:rPr>
          <w:rFonts w:hint="eastAsia"/>
          <w:sz w:val="20"/>
          <w:szCs w:val="20"/>
        </w:rPr>
        <w:t>THALES, CATT, Huawei, ZTE, Inmarsat, Viasat</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Rel-19</w:t>
      </w:r>
      <w:r>
        <w:rPr>
          <w:rFonts w:hint="eastAsia"/>
          <w:sz w:val="20"/>
          <w:szCs w:val="20"/>
        </w:rPr>
        <w:tab/>
      </w:r>
      <w:r>
        <w:rPr>
          <w:rFonts w:hint="eastAsia"/>
          <w:sz w:val="20"/>
          <w:szCs w:val="20"/>
        </w:rPr>
        <w:t>NR_NTN_Ph3-Core</w:t>
      </w:r>
    </w:p>
    <w:p>
      <w:pPr>
        <w:pStyle w:val="27"/>
        <w:numPr>
          <w:ilvl w:val="0"/>
          <w:numId w:val="0"/>
        </w:numPr>
        <w:overflowPunct/>
        <w:autoSpaceDE/>
        <w:autoSpaceDN/>
        <w:adjustRightInd/>
        <w:spacing w:beforeLines="50" w:after="0"/>
        <w:jc w:val="left"/>
        <w:textAlignment w:val="auto"/>
        <w:rPr>
          <w:rFonts w:hint="eastAsia"/>
          <w:sz w:val="20"/>
          <w:szCs w:val="20"/>
        </w:rPr>
      </w:pPr>
      <w:r>
        <w:rPr>
          <w:rFonts w:hint="eastAsia" w:eastAsia="宋体"/>
          <w:sz w:val="20"/>
          <w:szCs w:val="20"/>
          <w:lang w:val="en-US" w:eastAsia="zh-CN"/>
        </w:rPr>
        <w:t xml:space="preserve">[3] </w:t>
      </w:r>
      <w:r>
        <w:rPr>
          <w:rFonts w:hint="eastAsia"/>
          <w:sz w:val="20"/>
          <w:szCs w:val="20"/>
        </w:rPr>
        <w:t>338331_CR4761r1_Rel-18_R2-2403772_Miscellaneous_corrections_to_Rel-18_NR_NTN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D54F8"/>
    <w:multiLevelType w:val="singleLevel"/>
    <w:tmpl w:val="935D54F8"/>
    <w:lvl w:ilvl="0" w:tentative="0">
      <w:start w:val="1"/>
      <w:numFmt w:val="decimal"/>
      <w:suff w:val="space"/>
      <w:lvlText w:val="%1."/>
      <w:lvlJc w:val="left"/>
    </w:lvl>
  </w:abstractNum>
  <w:abstractNum w:abstractNumId="1">
    <w:nsid w:val="CC51427B"/>
    <w:multiLevelType w:val="singleLevel"/>
    <w:tmpl w:val="CC51427B"/>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8176839"/>
    <w:multiLevelType w:val="singleLevel"/>
    <w:tmpl w:val="38176839"/>
    <w:lvl w:ilvl="0" w:tentative="0">
      <w:start w:val="1"/>
      <w:numFmt w:val="decimal"/>
      <w:suff w:val="space"/>
      <w:lvlText w:val="[%1]"/>
      <w:lvlJc w:val="left"/>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8"/>
  </w:num>
  <w:num w:numId="5">
    <w:abstractNumId w:val="3"/>
  </w:num>
  <w:num w:numId="6">
    <w:abstractNumId w:val="7"/>
  </w:num>
  <w:num w:numId="7">
    <w:abstractNumId w:val="9"/>
  </w:num>
  <w:num w:numId="8">
    <w:abstractNumId w:val="6"/>
  </w:num>
  <w:num w:numId="9">
    <w:abstractNumId w:val="10"/>
  </w:num>
  <w:num w:numId="10">
    <w:abstractNumId w:val="12"/>
  </w:num>
  <w:num w:numId="11">
    <w:abstractNumId w:val="0"/>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31233B"/>
    <w:rsid w:val="015B631E"/>
    <w:rsid w:val="016318F9"/>
    <w:rsid w:val="019A10AD"/>
    <w:rsid w:val="01B06F0E"/>
    <w:rsid w:val="022F4B03"/>
    <w:rsid w:val="02744528"/>
    <w:rsid w:val="02CC0A1F"/>
    <w:rsid w:val="030B72E4"/>
    <w:rsid w:val="031025DB"/>
    <w:rsid w:val="037D50D6"/>
    <w:rsid w:val="03A11802"/>
    <w:rsid w:val="03F47F88"/>
    <w:rsid w:val="040546DA"/>
    <w:rsid w:val="048A5003"/>
    <w:rsid w:val="04B403C6"/>
    <w:rsid w:val="04BC080F"/>
    <w:rsid w:val="04EA7113"/>
    <w:rsid w:val="04F50E2F"/>
    <w:rsid w:val="05131CC7"/>
    <w:rsid w:val="05253B7D"/>
    <w:rsid w:val="05606A49"/>
    <w:rsid w:val="05983EBC"/>
    <w:rsid w:val="059F751E"/>
    <w:rsid w:val="06261BBF"/>
    <w:rsid w:val="06356668"/>
    <w:rsid w:val="0654248D"/>
    <w:rsid w:val="06565EAE"/>
    <w:rsid w:val="06A97085"/>
    <w:rsid w:val="06C0639B"/>
    <w:rsid w:val="06F51FCA"/>
    <w:rsid w:val="06F84D7D"/>
    <w:rsid w:val="071979A4"/>
    <w:rsid w:val="07353C74"/>
    <w:rsid w:val="07632E46"/>
    <w:rsid w:val="078C1F33"/>
    <w:rsid w:val="07B959B1"/>
    <w:rsid w:val="07EF7893"/>
    <w:rsid w:val="07FE15B0"/>
    <w:rsid w:val="083F0917"/>
    <w:rsid w:val="0841118C"/>
    <w:rsid w:val="086B7D75"/>
    <w:rsid w:val="0870043B"/>
    <w:rsid w:val="08AF444E"/>
    <w:rsid w:val="09133D3D"/>
    <w:rsid w:val="0913705D"/>
    <w:rsid w:val="09B1188B"/>
    <w:rsid w:val="0A1A51CE"/>
    <w:rsid w:val="0A9740DA"/>
    <w:rsid w:val="0ACC0F45"/>
    <w:rsid w:val="0B4A1814"/>
    <w:rsid w:val="0B510D2F"/>
    <w:rsid w:val="0BD60B5C"/>
    <w:rsid w:val="0C4E5F2A"/>
    <w:rsid w:val="0C9926B7"/>
    <w:rsid w:val="0CAE5B2E"/>
    <w:rsid w:val="0D524167"/>
    <w:rsid w:val="0D681ED9"/>
    <w:rsid w:val="0D6C179F"/>
    <w:rsid w:val="0DA27DFE"/>
    <w:rsid w:val="0DDB664A"/>
    <w:rsid w:val="0DEE15B3"/>
    <w:rsid w:val="0E321D7B"/>
    <w:rsid w:val="0E76093E"/>
    <w:rsid w:val="0E8662DB"/>
    <w:rsid w:val="0E891356"/>
    <w:rsid w:val="0E9909BF"/>
    <w:rsid w:val="0E997EF0"/>
    <w:rsid w:val="0EAD3293"/>
    <w:rsid w:val="0EC440FF"/>
    <w:rsid w:val="0EF139CD"/>
    <w:rsid w:val="0F170A4E"/>
    <w:rsid w:val="0FCC0A5A"/>
    <w:rsid w:val="0FE0018D"/>
    <w:rsid w:val="10221AC0"/>
    <w:rsid w:val="10842F24"/>
    <w:rsid w:val="11043CD0"/>
    <w:rsid w:val="110F10D1"/>
    <w:rsid w:val="11B82D63"/>
    <w:rsid w:val="11B85644"/>
    <w:rsid w:val="11C5063A"/>
    <w:rsid w:val="128D2197"/>
    <w:rsid w:val="12A47C3A"/>
    <w:rsid w:val="12B27083"/>
    <w:rsid w:val="12BA7EC6"/>
    <w:rsid w:val="12EA2663"/>
    <w:rsid w:val="13116F0E"/>
    <w:rsid w:val="13132FCE"/>
    <w:rsid w:val="134A0035"/>
    <w:rsid w:val="135C7F4F"/>
    <w:rsid w:val="141B1C76"/>
    <w:rsid w:val="14A20FFB"/>
    <w:rsid w:val="153214F9"/>
    <w:rsid w:val="153372CB"/>
    <w:rsid w:val="15426C00"/>
    <w:rsid w:val="164D618C"/>
    <w:rsid w:val="16563130"/>
    <w:rsid w:val="169343E9"/>
    <w:rsid w:val="16AA08E2"/>
    <w:rsid w:val="16F24CA6"/>
    <w:rsid w:val="171776E1"/>
    <w:rsid w:val="177E36D0"/>
    <w:rsid w:val="178C0902"/>
    <w:rsid w:val="180E362D"/>
    <w:rsid w:val="18155B7E"/>
    <w:rsid w:val="184002DC"/>
    <w:rsid w:val="1859524A"/>
    <w:rsid w:val="18787128"/>
    <w:rsid w:val="18A961DF"/>
    <w:rsid w:val="18B265FC"/>
    <w:rsid w:val="18B9619D"/>
    <w:rsid w:val="18BD380C"/>
    <w:rsid w:val="19025FAA"/>
    <w:rsid w:val="191242AE"/>
    <w:rsid w:val="19AC5C42"/>
    <w:rsid w:val="19BC1AC5"/>
    <w:rsid w:val="19D61537"/>
    <w:rsid w:val="1A330485"/>
    <w:rsid w:val="1AD838D9"/>
    <w:rsid w:val="1AEF5DBD"/>
    <w:rsid w:val="1B423649"/>
    <w:rsid w:val="1BA24967"/>
    <w:rsid w:val="1BD95F94"/>
    <w:rsid w:val="1BDA5141"/>
    <w:rsid w:val="1C120C72"/>
    <w:rsid w:val="1C136791"/>
    <w:rsid w:val="1C3D1CD0"/>
    <w:rsid w:val="1C5E7298"/>
    <w:rsid w:val="1C851710"/>
    <w:rsid w:val="1D2971B2"/>
    <w:rsid w:val="1DDD518B"/>
    <w:rsid w:val="1DEC57A6"/>
    <w:rsid w:val="1DEE0D18"/>
    <w:rsid w:val="1DF13F4F"/>
    <w:rsid w:val="1E3072B7"/>
    <w:rsid w:val="1E403C53"/>
    <w:rsid w:val="1EA20D4A"/>
    <w:rsid w:val="1EAA6DF5"/>
    <w:rsid w:val="1EFF6958"/>
    <w:rsid w:val="1F0A1209"/>
    <w:rsid w:val="1F430AAD"/>
    <w:rsid w:val="1F4F5F4F"/>
    <w:rsid w:val="1F734328"/>
    <w:rsid w:val="1FA11974"/>
    <w:rsid w:val="20203DE8"/>
    <w:rsid w:val="2031215C"/>
    <w:rsid w:val="205B6824"/>
    <w:rsid w:val="20854B03"/>
    <w:rsid w:val="20955704"/>
    <w:rsid w:val="20B64383"/>
    <w:rsid w:val="20DB7C51"/>
    <w:rsid w:val="20E465AD"/>
    <w:rsid w:val="20E9518E"/>
    <w:rsid w:val="211313D4"/>
    <w:rsid w:val="214C3BAE"/>
    <w:rsid w:val="21853E00"/>
    <w:rsid w:val="21A8193B"/>
    <w:rsid w:val="21F86645"/>
    <w:rsid w:val="22940D99"/>
    <w:rsid w:val="234E7F45"/>
    <w:rsid w:val="23DC392C"/>
    <w:rsid w:val="245B6D34"/>
    <w:rsid w:val="249A5164"/>
    <w:rsid w:val="24B5447A"/>
    <w:rsid w:val="24B82068"/>
    <w:rsid w:val="24E10292"/>
    <w:rsid w:val="24E1583C"/>
    <w:rsid w:val="24FD433F"/>
    <w:rsid w:val="25043CC9"/>
    <w:rsid w:val="25207521"/>
    <w:rsid w:val="258461CA"/>
    <w:rsid w:val="25D97F3F"/>
    <w:rsid w:val="2626306D"/>
    <w:rsid w:val="26553B39"/>
    <w:rsid w:val="26946B35"/>
    <w:rsid w:val="27306E68"/>
    <w:rsid w:val="27606908"/>
    <w:rsid w:val="2773468D"/>
    <w:rsid w:val="277E77C1"/>
    <w:rsid w:val="27E26E59"/>
    <w:rsid w:val="2809471B"/>
    <w:rsid w:val="28157267"/>
    <w:rsid w:val="28255BB3"/>
    <w:rsid w:val="283B220A"/>
    <w:rsid w:val="285478B9"/>
    <w:rsid w:val="2858271C"/>
    <w:rsid w:val="287D5E75"/>
    <w:rsid w:val="28AD0B61"/>
    <w:rsid w:val="29423CBE"/>
    <w:rsid w:val="29CD3FA9"/>
    <w:rsid w:val="2A4B23FB"/>
    <w:rsid w:val="2AC82235"/>
    <w:rsid w:val="2AF0613E"/>
    <w:rsid w:val="2AF930AB"/>
    <w:rsid w:val="2B083F92"/>
    <w:rsid w:val="2B141521"/>
    <w:rsid w:val="2B542A45"/>
    <w:rsid w:val="2B786BE6"/>
    <w:rsid w:val="2BE54292"/>
    <w:rsid w:val="2CF51ED1"/>
    <w:rsid w:val="2CFA23BD"/>
    <w:rsid w:val="2D3B228A"/>
    <w:rsid w:val="2D5923F4"/>
    <w:rsid w:val="2DB6192E"/>
    <w:rsid w:val="2DF36570"/>
    <w:rsid w:val="2DF75030"/>
    <w:rsid w:val="2E4C2285"/>
    <w:rsid w:val="2E5A7219"/>
    <w:rsid w:val="2EB775B3"/>
    <w:rsid w:val="2EE85B84"/>
    <w:rsid w:val="2EF94A67"/>
    <w:rsid w:val="2F5F08AE"/>
    <w:rsid w:val="2FE62AFD"/>
    <w:rsid w:val="302E07AF"/>
    <w:rsid w:val="30946552"/>
    <w:rsid w:val="31042E81"/>
    <w:rsid w:val="311B0263"/>
    <w:rsid w:val="319D3380"/>
    <w:rsid w:val="31AE180F"/>
    <w:rsid w:val="31DF65CC"/>
    <w:rsid w:val="31E62F93"/>
    <w:rsid w:val="32705B18"/>
    <w:rsid w:val="32A942B0"/>
    <w:rsid w:val="32E16793"/>
    <w:rsid w:val="32F13120"/>
    <w:rsid w:val="32FE0237"/>
    <w:rsid w:val="332457B9"/>
    <w:rsid w:val="333663A2"/>
    <w:rsid w:val="333704BD"/>
    <w:rsid w:val="33C1289E"/>
    <w:rsid w:val="33E26367"/>
    <w:rsid w:val="33F614DE"/>
    <w:rsid w:val="343F7C3F"/>
    <w:rsid w:val="347C3CC9"/>
    <w:rsid w:val="34914DCA"/>
    <w:rsid w:val="34C6331F"/>
    <w:rsid w:val="34D95BB9"/>
    <w:rsid w:val="34F027A5"/>
    <w:rsid w:val="350721BF"/>
    <w:rsid w:val="3557539D"/>
    <w:rsid w:val="361C2353"/>
    <w:rsid w:val="3635547B"/>
    <w:rsid w:val="36746B61"/>
    <w:rsid w:val="36946ACC"/>
    <w:rsid w:val="36951E45"/>
    <w:rsid w:val="36A9407C"/>
    <w:rsid w:val="36FA1D41"/>
    <w:rsid w:val="37693EC9"/>
    <w:rsid w:val="37C2178A"/>
    <w:rsid w:val="380411EC"/>
    <w:rsid w:val="3829480D"/>
    <w:rsid w:val="383529C2"/>
    <w:rsid w:val="383C5BD0"/>
    <w:rsid w:val="38536D3F"/>
    <w:rsid w:val="388727CC"/>
    <w:rsid w:val="38C74332"/>
    <w:rsid w:val="38D80DDA"/>
    <w:rsid w:val="39024B57"/>
    <w:rsid w:val="392321DF"/>
    <w:rsid w:val="39BD6FC6"/>
    <w:rsid w:val="3A06167E"/>
    <w:rsid w:val="3A5E7CCF"/>
    <w:rsid w:val="3A6F42D5"/>
    <w:rsid w:val="3A752D25"/>
    <w:rsid w:val="3A82293D"/>
    <w:rsid w:val="3A9E2AD9"/>
    <w:rsid w:val="3AA31842"/>
    <w:rsid w:val="3BB55C74"/>
    <w:rsid w:val="3BC23F1A"/>
    <w:rsid w:val="3C340332"/>
    <w:rsid w:val="3C4A1FF4"/>
    <w:rsid w:val="3C5503C9"/>
    <w:rsid w:val="3CD8469E"/>
    <w:rsid w:val="3D2E7413"/>
    <w:rsid w:val="3D4E724C"/>
    <w:rsid w:val="3D966C01"/>
    <w:rsid w:val="3DA51E2F"/>
    <w:rsid w:val="3DB43891"/>
    <w:rsid w:val="3DF97B1A"/>
    <w:rsid w:val="3EBF3FFA"/>
    <w:rsid w:val="3EE00B8B"/>
    <w:rsid w:val="3EE85004"/>
    <w:rsid w:val="3F3903BA"/>
    <w:rsid w:val="3F4C414E"/>
    <w:rsid w:val="40325295"/>
    <w:rsid w:val="403F2559"/>
    <w:rsid w:val="40F82E28"/>
    <w:rsid w:val="413E0670"/>
    <w:rsid w:val="41585AC3"/>
    <w:rsid w:val="419A109D"/>
    <w:rsid w:val="41B34CCB"/>
    <w:rsid w:val="41CF09F7"/>
    <w:rsid w:val="420610DF"/>
    <w:rsid w:val="429544E1"/>
    <w:rsid w:val="42CE6929"/>
    <w:rsid w:val="42F71CEC"/>
    <w:rsid w:val="42FF70F8"/>
    <w:rsid w:val="434B1776"/>
    <w:rsid w:val="43AF2165"/>
    <w:rsid w:val="43CE2F36"/>
    <w:rsid w:val="443B107F"/>
    <w:rsid w:val="44B14540"/>
    <w:rsid w:val="44BA7E1E"/>
    <w:rsid w:val="44BE79C3"/>
    <w:rsid w:val="44EA08D5"/>
    <w:rsid w:val="457A2409"/>
    <w:rsid w:val="45CA31DA"/>
    <w:rsid w:val="45EC6821"/>
    <w:rsid w:val="45F303D0"/>
    <w:rsid w:val="464004CF"/>
    <w:rsid w:val="46B51FCF"/>
    <w:rsid w:val="46BA0199"/>
    <w:rsid w:val="46C762EB"/>
    <w:rsid w:val="46DD279A"/>
    <w:rsid w:val="47062A9A"/>
    <w:rsid w:val="475C78B7"/>
    <w:rsid w:val="47993F84"/>
    <w:rsid w:val="47BD666C"/>
    <w:rsid w:val="480A17DC"/>
    <w:rsid w:val="486A1FA3"/>
    <w:rsid w:val="491E031D"/>
    <w:rsid w:val="493841DA"/>
    <w:rsid w:val="499804E8"/>
    <w:rsid w:val="4A0E1789"/>
    <w:rsid w:val="4A284A82"/>
    <w:rsid w:val="4A405C7F"/>
    <w:rsid w:val="4A662E1D"/>
    <w:rsid w:val="4A7E32B4"/>
    <w:rsid w:val="4AFC533A"/>
    <w:rsid w:val="4B1367B9"/>
    <w:rsid w:val="4B316DE7"/>
    <w:rsid w:val="4B9E419F"/>
    <w:rsid w:val="4C353BC7"/>
    <w:rsid w:val="4C5D54D6"/>
    <w:rsid w:val="4C814518"/>
    <w:rsid w:val="4C91315E"/>
    <w:rsid w:val="4CAD0872"/>
    <w:rsid w:val="4CCE50CA"/>
    <w:rsid w:val="4D077DA2"/>
    <w:rsid w:val="4D3A24A4"/>
    <w:rsid w:val="4D594475"/>
    <w:rsid w:val="4DB06342"/>
    <w:rsid w:val="4DEC01C6"/>
    <w:rsid w:val="4DF158ED"/>
    <w:rsid w:val="4E4D0205"/>
    <w:rsid w:val="4EC83A06"/>
    <w:rsid w:val="4EE53BFB"/>
    <w:rsid w:val="4F2C3853"/>
    <w:rsid w:val="4F7F20AA"/>
    <w:rsid w:val="4F873909"/>
    <w:rsid w:val="4F987D75"/>
    <w:rsid w:val="4FF617D6"/>
    <w:rsid w:val="506B2DFC"/>
    <w:rsid w:val="50E64646"/>
    <w:rsid w:val="516A6684"/>
    <w:rsid w:val="518C6DB2"/>
    <w:rsid w:val="51B56C43"/>
    <w:rsid w:val="51E261D3"/>
    <w:rsid w:val="522E4CB2"/>
    <w:rsid w:val="526327EF"/>
    <w:rsid w:val="528C3B63"/>
    <w:rsid w:val="532C26FC"/>
    <w:rsid w:val="53322A76"/>
    <w:rsid w:val="53967073"/>
    <w:rsid w:val="53C54AA3"/>
    <w:rsid w:val="540514A1"/>
    <w:rsid w:val="54363924"/>
    <w:rsid w:val="54A648D1"/>
    <w:rsid w:val="54AC6338"/>
    <w:rsid w:val="54E44ED6"/>
    <w:rsid w:val="55571991"/>
    <w:rsid w:val="557213D6"/>
    <w:rsid w:val="566931AC"/>
    <w:rsid w:val="56F374FB"/>
    <w:rsid w:val="57FE5EB7"/>
    <w:rsid w:val="58327182"/>
    <w:rsid w:val="58B06A81"/>
    <w:rsid w:val="59047E88"/>
    <w:rsid w:val="59620232"/>
    <w:rsid w:val="59A00F56"/>
    <w:rsid w:val="59B24039"/>
    <w:rsid w:val="59C22E50"/>
    <w:rsid w:val="5A31005C"/>
    <w:rsid w:val="5AD27471"/>
    <w:rsid w:val="5B3D411A"/>
    <w:rsid w:val="5B79457C"/>
    <w:rsid w:val="5B8D1AC1"/>
    <w:rsid w:val="5BA3592C"/>
    <w:rsid w:val="5C610721"/>
    <w:rsid w:val="5C8B6FF1"/>
    <w:rsid w:val="5CA24B2D"/>
    <w:rsid w:val="5CB30402"/>
    <w:rsid w:val="5CE65EF0"/>
    <w:rsid w:val="5CFE4143"/>
    <w:rsid w:val="5DA318BF"/>
    <w:rsid w:val="5E055781"/>
    <w:rsid w:val="5E0E7F2F"/>
    <w:rsid w:val="5E204AD7"/>
    <w:rsid w:val="5E4C6102"/>
    <w:rsid w:val="5E6D4BC0"/>
    <w:rsid w:val="5EE4466F"/>
    <w:rsid w:val="5EEA5BA3"/>
    <w:rsid w:val="5F3E69CE"/>
    <w:rsid w:val="5FBA4AB4"/>
    <w:rsid w:val="6009519E"/>
    <w:rsid w:val="602A2D5D"/>
    <w:rsid w:val="60AD5F5F"/>
    <w:rsid w:val="60C00963"/>
    <w:rsid w:val="60E06CFC"/>
    <w:rsid w:val="60E30438"/>
    <w:rsid w:val="612D3C7B"/>
    <w:rsid w:val="61826F89"/>
    <w:rsid w:val="623E2101"/>
    <w:rsid w:val="62947A1C"/>
    <w:rsid w:val="62CD6DE1"/>
    <w:rsid w:val="62E70A4E"/>
    <w:rsid w:val="62FD4A9D"/>
    <w:rsid w:val="632C6FC4"/>
    <w:rsid w:val="633C23BD"/>
    <w:rsid w:val="634B3FF6"/>
    <w:rsid w:val="636649C5"/>
    <w:rsid w:val="639B7107"/>
    <w:rsid w:val="64460ECC"/>
    <w:rsid w:val="644F5E22"/>
    <w:rsid w:val="64681DB1"/>
    <w:rsid w:val="648F50EB"/>
    <w:rsid w:val="64902A98"/>
    <w:rsid w:val="64D843A5"/>
    <w:rsid w:val="65285C53"/>
    <w:rsid w:val="652B7ADD"/>
    <w:rsid w:val="659362DC"/>
    <w:rsid w:val="65B57054"/>
    <w:rsid w:val="65BB4C4A"/>
    <w:rsid w:val="663B46C9"/>
    <w:rsid w:val="663F30CF"/>
    <w:rsid w:val="66550E53"/>
    <w:rsid w:val="667645CC"/>
    <w:rsid w:val="67413BF6"/>
    <w:rsid w:val="6755359A"/>
    <w:rsid w:val="676431FE"/>
    <w:rsid w:val="67A7418D"/>
    <w:rsid w:val="67D27C62"/>
    <w:rsid w:val="67DF6978"/>
    <w:rsid w:val="680B0911"/>
    <w:rsid w:val="680C2281"/>
    <w:rsid w:val="682856AB"/>
    <w:rsid w:val="68A960CF"/>
    <w:rsid w:val="694E04D2"/>
    <w:rsid w:val="698044A5"/>
    <w:rsid w:val="69EC5C69"/>
    <w:rsid w:val="6A162446"/>
    <w:rsid w:val="6A427BA5"/>
    <w:rsid w:val="6A510F7A"/>
    <w:rsid w:val="6AA67E64"/>
    <w:rsid w:val="6B0D712F"/>
    <w:rsid w:val="6B28575B"/>
    <w:rsid w:val="6B3A78D7"/>
    <w:rsid w:val="6B421D41"/>
    <w:rsid w:val="6BE4485D"/>
    <w:rsid w:val="6BE73938"/>
    <w:rsid w:val="6C3B431E"/>
    <w:rsid w:val="6C857DA8"/>
    <w:rsid w:val="6CC1587C"/>
    <w:rsid w:val="6D167504"/>
    <w:rsid w:val="6D2337C5"/>
    <w:rsid w:val="6D2B74AA"/>
    <w:rsid w:val="6D697BC3"/>
    <w:rsid w:val="6D7111BC"/>
    <w:rsid w:val="6DCA5CB9"/>
    <w:rsid w:val="6DD65377"/>
    <w:rsid w:val="6E280F38"/>
    <w:rsid w:val="6E6D2B48"/>
    <w:rsid w:val="6E8A21F7"/>
    <w:rsid w:val="6EAF0B76"/>
    <w:rsid w:val="6EF901F5"/>
    <w:rsid w:val="6F2867BD"/>
    <w:rsid w:val="6F423F47"/>
    <w:rsid w:val="6F44559B"/>
    <w:rsid w:val="6F76519C"/>
    <w:rsid w:val="703031CF"/>
    <w:rsid w:val="703A2630"/>
    <w:rsid w:val="709C594C"/>
    <w:rsid w:val="70B17174"/>
    <w:rsid w:val="70B240EF"/>
    <w:rsid w:val="71D05F49"/>
    <w:rsid w:val="71F97835"/>
    <w:rsid w:val="72A46F04"/>
    <w:rsid w:val="72BD29D3"/>
    <w:rsid w:val="72D66B55"/>
    <w:rsid w:val="73090FE2"/>
    <w:rsid w:val="73265607"/>
    <w:rsid w:val="73F82EA2"/>
    <w:rsid w:val="740D6797"/>
    <w:rsid w:val="7435596C"/>
    <w:rsid w:val="74722C9A"/>
    <w:rsid w:val="747E452E"/>
    <w:rsid w:val="74FA5A4A"/>
    <w:rsid w:val="752124FA"/>
    <w:rsid w:val="755F161D"/>
    <w:rsid w:val="756103A4"/>
    <w:rsid w:val="75884210"/>
    <w:rsid w:val="75BD4A84"/>
    <w:rsid w:val="75C255EC"/>
    <w:rsid w:val="75EA7003"/>
    <w:rsid w:val="75ED3159"/>
    <w:rsid w:val="760D56E2"/>
    <w:rsid w:val="76EE218C"/>
    <w:rsid w:val="772E0B03"/>
    <w:rsid w:val="778A542A"/>
    <w:rsid w:val="77A87CF2"/>
    <w:rsid w:val="77B518A9"/>
    <w:rsid w:val="77C177F8"/>
    <w:rsid w:val="77EF5E51"/>
    <w:rsid w:val="786E27DF"/>
    <w:rsid w:val="79332F0B"/>
    <w:rsid w:val="79404AFC"/>
    <w:rsid w:val="798A3C76"/>
    <w:rsid w:val="79B56273"/>
    <w:rsid w:val="79C11BD2"/>
    <w:rsid w:val="79E8078D"/>
    <w:rsid w:val="79EE3136"/>
    <w:rsid w:val="7A2B2B8A"/>
    <w:rsid w:val="7A2C376D"/>
    <w:rsid w:val="7A3422EE"/>
    <w:rsid w:val="7A4774F3"/>
    <w:rsid w:val="7A6F0C1C"/>
    <w:rsid w:val="7A757AF0"/>
    <w:rsid w:val="7A8F43F6"/>
    <w:rsid w:val="7AA678C6"/>
    <w:rsid w:val="7B080BE9"/>
    <w:rsid w:val="7B113087"/>
    <w:rsid w:val="7B5441DD"/>
    <w:rsid w:val="7B9E2E7D"/>
    <w:rsid w:val="7BEA35A6"/>
    <w:rsid w:val="7C050B07"/>
    <w:rsid w:val="7C9E7A01"/>
    <w:rsid w:val="7D2E186E"/>
    <w:rsid w:val="7D584927"/>
    <w:rsid w:val="7D8F4D8B"/>
    <w:rsid w:val="7DBA4407"/>
    <w:rsid w:val="7DD14D63"/>
    <w:rsid w:val="7E0773D0"/>
    <w:rsid w:val="7E5D66DD"/>
    <w:rsid w:val="7E734104"/>
    <w:rsid w:val="7ECB7D54"/>
    <w:rsid w:val="7EEE5FCC"/>
    <w:rsid w:val="7F1E4ADB"/>
    <w:rsid w:val="7F2E279D"/>
    <w:rsid w:val="7F2F0CF5"/>
    <w:rsid w:val="7F60044C"/>
    <w:rsid w:val="7F7054DF"/>
    <w:rsid w:val="7F880165"/>
    <w:rsid w:val="7FD542A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basedOn w:val="47"/>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2024-05-10T06:31:43Z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5F7C8D5CB0CE439BB22E69265EE798AF</vt:lpwstr>
  </property>
</Properties>
</file>